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5"/>
        <w:gridCol w:w="4770"/>
      </w:tblGrid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I. Антихолинэстеразные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Галантамин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капсулы пролонгированного действия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Ипидакрин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Пиридостигмина бромид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II. Опиоидные анальгетики и анальгетик смешанного действия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Бупренорфин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внутривенного и внутримышечного введения; таблетки подъязычные; терапевтическая система трансдермальная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Морфин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Морфин + Наркотин + Папаверина гидрохлорид + Кодеин + Тебаин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Трамадол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Тримеперидин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Фентанил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III. Ненаркотические анальгетики и нестероидные противовоспалительные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Ацеклофенак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Декскетопрофен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Диклофенак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действия; раствор для внутримышечного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гель для наружного применения; крем для наружного применения; таблетки, покрытые оболочкой; суспензия для приема внутрь; суппозитории ректальные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Индометацин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мазь для наружного применения; суппозитории;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Кетопрофен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крем; суппозитории; таблетки ретард; таблетки форте,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Кеторолак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раствор для внутримышечного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Лорноксикам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лиофилизат для приготовления раствора для внутривенного и внутримышечного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Мелоксикам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Нимесулид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мазь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Комбинированные препараты, содержащие метамизол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Парацетамол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суппозитории ректальные;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Феназон + лидокаин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ушные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Флупиртина малеат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IV. Средства для лечения подагры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Аллопуринол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V. Прочие противовоспалительные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Гидроксихлорохин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Лефлуномид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Месалазин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Пеницилламин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Сульфасалазин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Хлорохин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VI. Средства для лечения аллергических реакций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Диметинден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Кетотифен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Клемастин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Лоратадин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Мебгидролин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драже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Хлоропирамин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Цетиризин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внутрь; таблетки, покрытые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VII. Противосудорожные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Бензобарбитал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Вальпроевая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внутрь; сироп; таблетки, покрытые кишечнорастворимой оболочкой; таблетки пролонгированного действия, покрытые оболочкой; гранулы пролонгированные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Габапентин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Карбамазепин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Клоназепам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Ламотриджин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Леветирацетам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Окскарбазепин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пленочной оболочкой; суспензия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Примидон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Топирамат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Фенобарбитал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Фенитоин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Этосуксимид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lastRenderedPageBreak/>
              <w:t>VIII. Средства для лечения паркинсонизма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Бромокриптин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Леводопа + Карбидопа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Леводопа + Бенсеразид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 диспергируемые;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Пирибедил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Прамипексол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Разагилина мезилат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Селегилин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Циклодол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IX. Анксиолитики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Алпразолам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 пролонгированного действия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раствор для внутримышечного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Гидроксизин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Нитразепам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X. Антипсихотические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Алимемазин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Галоперидол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Галоперидол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Зуклопентиксол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раствор для внутримышечного введения (масляный)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Кветиапин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Клозапин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Левомепромазин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Палиперидон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Перфеназин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Перициазин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приема внутрь; 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Промазин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драже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Рисперидон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 для рассасывания;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Сульпирид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Тиоридазин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драже;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Трифлуоперазин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Флупентиксол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Флуфеназин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Хлорпромазин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драже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Хлорпротиксен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XI. Антидепрессанты и средства нормотимического действия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Амитриптилин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Венлафаксин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 с модифицированным высвобождением;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Имипрамин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драже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Кломипрамин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Лития карбонат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Мапротилин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Милнаципран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Пароксетин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Пипофезин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 с модифицированным высвобождением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Пирлиндол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Сертралин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Флувоксамин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Флуоксетин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Эсциталопрам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XII. Средства для лечения нарушений сна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Залеплон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Золпидем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Зопиклон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XIII. Прочие средства, влияющие на центральную нервную систему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Баклофен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Бетагистин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Винпоцетин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Гопантеновая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сироп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Пирацетам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раствор для приема внутрь;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Тизанидин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Толперизон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Фенибут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Фенотропил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Циннаризин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XIV. Средства для профилактики и лечения инфекций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Антибиотики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Азитромицин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таблетки, покрытые оболочкой; порошок для приготовления суспензии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Амоксициллин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таблетки, покрытые оболочкой;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Амоксициллин + Клавулановая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суспензии для приема внутрь; таблетки диспергируемые; таблетки, покрытые оболочкой;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Джозамицин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таблетки диспергируемые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Доксициклин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Кларитромицин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Мидекамицин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Рифамицин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ушные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Тетрациклин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мазь глазная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Тобрамицин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Фосфомицин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гранулы для приготовления раствора для приема внутрь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Синтетические антибактериальные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Котримоксазол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суспензия для приема внутрь;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Нитрофурантоин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Нитроксолин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Нифуроксазид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суспензия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Норфлоксацин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Офлоксацин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Пипемидовая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Сульфацетамид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глазные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Фуразидин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Ципрофлоксацин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глазные; таблетки, покрытые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XV. Противотуберкулезные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Изониазид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Пиразинамид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Протионамид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Рифампицин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Этамбутол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XVI. Противовирусные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Арбидол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Ацикловир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мазь для наружного применения; мазь глазная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Рибавирин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Энтекавир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XVII. Противогрибковые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Клотримазол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крем для наружного применения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Нистатин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мазь для наружного применения; суппозитории вагинальные; суппозитории ректальные; таблетки, </w:t>
            </w: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Тербинафин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крем для наружного применения; спрей;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Флуконазол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XVIII. Противопаразитарные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Мебендазол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Метронидазол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XIX. Противоопухолевые, иммунодепрессивные и сопутствующие средства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Азатиоприн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Анастразол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Апрепитант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 набор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Блеомицин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Блеомицетин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лиофилизированный порошок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Бусульфан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Винбластин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лиофилизированный 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Винкристин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лиофилизированный 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Дактиномицин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лиофилизированный порошок для инъекций; концентрат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Даунорубицин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Доксорубицин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внутривенного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Ибандроновая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Идарубицин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Ифосфамид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раствора для инъекций; порошок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Кальция фолинат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Карбоплатин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инфузий концентрированный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Кармустин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Клодроновая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концентрат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Ленограстим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лиофилизированный 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Летрозол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Ломустин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Медроксипрогестерон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Мелфалан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Меркаптопурин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Месна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раствор для внутривенного введения; раствор для инфузий концентрированный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Метотрексат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таблетки; концентрат для приготовления раствора для инъекций; раствор для инъекций в градуированных шприцах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Митоксантрон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Митомицин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Ондансетрон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Памидроновая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Прокарбазин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Сегидрин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Тамоксифен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Флутамид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Фотемустин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Фторурацил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концентрат для приготовления раствора для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Фторафур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Фулвестрант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внутримышечных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Хлорамбуцил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Циклоспорин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раствор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Циклофосфамид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Ципротерон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Цисплатин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концентрированный раствор для приготовления инфузий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Цитарабин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инъекций; лиофилизат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Эпирубицин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концентрат для приготовления раствора для внутривенного и внутриполостного введения; лиофилизированный порошок для приготовления раствора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Эстрамустин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лиофилизированный порошок для приготовления инъекционного раствора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Этопозид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XX. Средства для лечения остеопороза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Альфакальцидол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Дигидротахистерол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внутрь; раствор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Кальцитриол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Колекальциферол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XXI. Средства, влияющие на кроветворение, систему свертывания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Варфарин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Гепарин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гель для наружного применения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Дипиридамол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драже; 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Железа [III] гидроксид полимальтозат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сироп; таблетки жевательные; капли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Железа сульфат + Аскорбиновая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Метоксиполиэтиленгликоль-эпоэтин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Пентоксифиллин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Фолиевая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Эпоэтин альфа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раствор для инъекций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Эпоэтин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лиофилизат для приготовления раствора для подкожного введения; раствор для инъекций</w:t>
            </w:r>
          </w:p>
        </w:tc>
      </w:tr>
      <w:tr w:rsidR="00260E2A" w:rsidRPr="00260E2A" w:rsidTr="00260E2A"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outlineLvl w:val="3"/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</w:pPr>
            <w:r w:rsidRPr="00260E2A">
              <w:rPr>
                <w:rFonts w:ascii="Tahoma" w:eastAsia="Times New Roman" w:hAnsi="Tahoma" w:cs="Tahoma"/>
                <w:b/>
                <w:bCs/>
                <w:i/>
                <w:iCs/>
                <w:color w:val="11527E"/>
                <w:sz w:val="20"/>
                <w:szCs w:val="20"/>
              </w:rPr>
              <w:t>XXII. Средства, влияющие на сердечно-сосудистую систему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Амиодарон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Амлодипин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Амлодипин + лизиноприл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Атенолол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Ацетазоламид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Бисопролол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Валидол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 подъязычные; таблетки подъязычные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Верапамил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Гидрохлоротиазид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Гидрохлоротиазид + Триамтерен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Дигоксин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Дилтиазем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Изосорбид динитрат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аэрозоль подъязычный дозированный; таблетки пролонгированного действия;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Изосорбид мононитрат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 пролонгированного действия; таблетки ретард;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Индапамид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таблетки, покрытые оболочкой; таблетки с модифицированным высвобождением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Каптоприл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Каптоприл + Гидрохлоротиазид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Карведилол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Клонидин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Корвалол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Лизиноприл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Метопролол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Моксонидин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таблетки, покрытые оболочкой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Молсидомин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 ретард;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Мяты перечной масло + Фенобарбитал + Хмеля шишек масло + Этилбромизовалерианат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капли для приема внутрь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Нитроглицерин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спрей подъязычный дозированный; таблетки подъязычные; таблетки пролонгированного действия; трансдермальная терапевтическая система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Нифедипин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капсулы; таблетки пролонгированного действия, покрытые оболочкой; таблетки рапид-ретард, покрытые оболочкой; таблетки с модифицированным высвобождением; 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Периндоприл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Периндоприл + Амлодипин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  <w:tr w:rsidR="00260E2A" w:rsidRPr="00260E2A" w:rsidTr="00260E2A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Периндоприл + Индапамид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2A" w:rsidRPr="00260E2A" w:rsidRDefault="00260E2A" w:rsidP="00260E2A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60E2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таблетки</w:t>
            </w:r>
          </w:p>
        </w:tc>
      </w:tr>
    </w:tbl>
    <w:p w:rsidR="00000000" w:rsidRDefault="00260E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E2A"/>
    <w:rsid w:val="002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0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0E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2014-05-22T07:03:00Z</dcterms:created>
  <dcterms:modified xsi:type="dcterms:W3CDTF">2014-05-22T07:03:00Z</dcterms:modified>
</cp:coreProperties>
</file>